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12" w:rsidRDefault="006B3A12" w:rsidP="006B3A12">
      <w:pPr>
        <w:tabs>
          <w:tab w:val="left" w:pos="7200"/>
          <w:tab w:val="left" w:pos="7380"/>
          <w:tab w:val="left" w:pos="7560"/>
        </w:tabs>
        <w:ind w:leftChars="1" w:left="1548" w:hangingChars="483" w:hanging="1546"/>
        <w:rPr>
          <w:rFonts w:ascii="黑体" w:eastAsia="黑体" w:hAnsi="黑体"/>
          <w:sz w:val="32"/>
          <w:szCs w:val="32"/>
        </w:rPr>
      </w:pPr>
      <w:bookmarkStart w:id="0" w:name="zhengwen"/>
      <w:r>
        <w:rPr>
          <w:rFonts w:ascii="黑体" w:eastAsia="黑体" w:hAnsi="黑体" w:hint="eastAsia"/>
          <w:sz w:val="32"/>
          <w:szCs w:val="32"/>
        </w:rPr>
        <w:t>附件</w:t>
      </w:r>
    </w:p>
    <w:p w:rsidR="006B3A12" w:rsidRPr="00054DF9" w:rsidRDefault="006B3A12" w:rsidP="006B3A12">
      <w:pPr>
        <w:jc w:val="left"/>
        <w:rPr>
          <w:rFonts w:ascii="黑体" w:eastAsia="黑体" w:hAnsi="黑体"/>
          <w:sz w:val="32"/>
          <w:szCs w:val="32"/>
        </w:rPr>
      </w:pPr>
    </w:p>
    <w:p w:rsidR="006B3A12" w:rsidRPr="00054DF9" w:rsidRDefault="006B3A12" w:rsidP="006B3A12">
      <w:pPr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2016</w:t>
      </w:r>
      <w:r w:rsidRPr="00054DF9">
        <w:rPr>
          <w:rFonts w:ascii="方正小标宋简体" w:eastAsia="方正小标宋简体" w:hAnsi="华文仿宋" w:hint="eastAsia"/>
          <w:sz w:val="44"/>
          <w:szCs w:val="44"/>
        </w:rPr>
        <w:t>年</w:t>
      </w:r>
      <w:r>
        <w:rPr>
          <w:rFonts w:ascii="方正小标宋简体" w:eastAsia="方正小标宋简体" w:hAnsi="华文仿宋" w:hint="eastAsia"/>
          <w:sz w:val="44"/>
          <w:szCs w:val="44"/>
        </w:rPr>
        <w:t>3</w:t>
      </w:r>
      <w:r w:rsidRPr="00054DF9">
        <w:rPr>
          <w:rFonts w:ascii="方正小标宋简体" w:eastAsia="方正小标宋简体" w:hAnsi="华文仿宋" w:hint="eastAsia"/>
          <w:sz w:val="44"/>
          <w:szCs w:val="44"/>
        </w:rPr>
        <w:t>月份已批准药品上市品种目录</w:t>
      </w:r>
    </w:p>
    <w:tbl>
      <w:tblPr>
        <w:tblW w:w="1542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704"/>
        <w:gridCol w:w="1229"/>
        <w:gridCol w:w="3116"/>
        <w:gridCol w:w="1000"/>
        <w:gridCol w:w="1716"/>
        <w:gridCol w:w="743"/>
        <w:gridCol w:w="2648"/>
        <w:gridCol w:w="1716"/>
        <w:gridCol w:w="888"/>
        <w:gridCol w:w="1125"/>
      </w:tblGrid>
      <w:tr w:rsidR="006B3A12" w:rsidRPr="00F36631" w:rsidTr="00056FA5">
        <w:trPr>
          <w:trHeight w:val="480"/>
          <w:tblHeader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英文名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剂型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适应症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新药证书持有人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Default="006B3A12" w:rsidP="00056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批准文号/</w:t>
            </w:r>
          </w:p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注册证号</w:t>
            </w:r>
          </w:p>
        </w:tc>
      </w:tr>
      <w:tr w:rsidR="006B3A12" w:rsidRPr="00F36631" w:rsidTr="00056FA5">
        <w:trPr>
          <w:trHeight w:val="1126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那屈肝素钙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Nadroparin calcium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化药3.1类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河北常山生化药业股份有限公司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河北常山生化药业股份有限公司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国药准字H20160004</w:t>
            </w:r>
          </w:p>
        </w:tc>
      </w:tr>
      <w:tr w:rsidR="006B3A12" w:rsidRPr="00F36631" w:rsidTr="00056FA5">
        <w:trPr>
          <w:trHeight w:val="48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他克莫司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Tacrolimus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华北制药股份有限公司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国药准字H20163063</w:t>
            </w:r>
          </w:p>
        </w:tc>
      </w:tr>
      <w:tr w:rsidR="006B3A12" w:rsidRPr="00F36631" w:rsidTr="00056FA5">
        <w:trPr>
          <w:trHeight w:val="48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乙酰半胱氨酸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Acetylcysteine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25kg/桶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湖北新生源生物工程股份有限公司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国药准字H20163064</w:t>
            </w:r>
          </w:p>
        </w:tc>
      </w:tr>
      <w:tr w:rsidR="006B3A12" w:rsidRPr="00F36631" w:rsidTr="00056FA5">
        <w:trPr>
          <w:trHeight w:val="72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盐酸法舒地尔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Fasudil Hydrochloride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重庆药友制药有限责任公司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国药准字H20163065</w:t>
            </w:r>
          </w:p>
        </w:tc>
      </w:tr>
      <w:tr w:rsidR="006B3A12" w:rsidRPr="00F36631" w:rsidTr="00056FA5">
        <w:trPr>
          <w:trHeight w:val="96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注射用头孢孟多酯钠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CefamandoleNafate for Injection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1.0g（按C18H18N6O6S2计算）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适用于敏感细菌所致的肺部感染、尿路感染、胆道感染、皮肤软组织感染、骨和关节感染以及败血症、腹腔感染等。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石药集团中诺药业（石家庄）有限公司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国药准字H20163066</w:t>
            </w:r>
          </w:p>
        </w:tc>
      </w:tr>
      <w:tr w:rsidR="006B3A12" w:rsidRPr="00F36631" w:rsidTr="00056FA5">
        <w:trPr>
          <w:trHeight w:val="96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注射用头孢孟多酯钠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CefamandoleNafate for Injection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0.5g（按C18H18N6O6S2计算）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适用于敏感细菌所致的肺部感染、尿路感染、胆道感染、皮肤软组织感染、骨和关节感染以及败血症、腹腔感染等。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石药集团中诺药业（石家庄）有限公司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国药准字H20163067</w:t>
            </w:r>
          </w:p>
        </w:tc>
      </w:tr>
      <w:tr w:rsidR="006B3A12" w:rsidRPr="00F36631" w:rsidTr="00056FA5">
        <w:trPr>
          <w:trHeight w:val="96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注射用头孢孟多酯钠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CefamandoleNafate for Injection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2.0g（按C18H18N6O6S2计算）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适用于敏感细菌所致的肺部感染、尿路感染、胆道感染、皮肤软组织感染、骨和关节感染以及败血症、腹腔感染等。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石药集团中诺药业（石家庄）有限公司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国药准字H20163068</w:t>
            </w:r>
          </w:p>
        </w:tc>
      </w:tr>
      <w:tr w:rsidR="006B3A12" w:rsidRPr="00F36631" w:rsidTr="00056FA5">
        <w:trPr>
          <w:trHeight w:val="72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盐酸组氨酸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Histidine Hydrochloride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25kg/桶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湖北新生源生物工程股份有限公司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国药准字H20163069</w:t>
            </w:r>
          </w:p>
        </w:tc>
      </w:tr>
      <w:tr w:rsidR="006B3A12" w:rsidRPr="00F36631" w:rsidTr="00056FA5">
        <w:trPr>
          <w:trHeight w:val="48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格隆溴铵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Glycopyrrolate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四川青木制药有限公司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国药准字H20163070</w:t>
            </w:r>
          </w:p>
        </w:tc>
      </w:tr>
      <w:tr w:rsidR="006B3A12" w:rsidRPr="00F36631" w:rsidTr="00056FA5">
        <w:trPr>
          <w:trHeight w:val="696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依托度酸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Etodolac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杭州科本药业有限公司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国药准字H20163090</w:t>
            </w:r>
          </w:p>
        </w:tc>
      </w:tr>
      <w:tr w:rsidR="006B3A12" w:rsidRPr="00F36631" w:rsidTr="00056FA5">
        <w:trPr>
          <w:trHeight w:val="1015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灭菌注射用水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Sterile Water for Injection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10ml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注射用灭菌粉末的溶剂或注射液的稀释剂或各科内腔镜手术冲洗剂。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哈尔滨誉衡药业股份有限公司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国药准字H20163091</w:t>
            </w:r>
          </w:p>
        </w:tc>
      </w:tr>
      <w:tr w:rsidR="006B3A12" w:rsidRPr="00F36631" w:rsidTr="00056FA5">
        <w:trPr>
          <w:trHeight w:val="1226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灭菌注射用水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Sterile Water for Injection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5ml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注射用灭菌粉末的溶剂或注射液的稀释剂或各科内腔镜手术冲洗剂。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哈尔滨誉衡药业股份有限公司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国药准字H20163092</w:t>
            </w:r>
          </w:p>
        </w:tc>
      </w:tr>
      <w:tr w:rsidR="006B3A12" w:rsidRPr="00F36631" w:rsidTr="00056FA5">
        <w:trPr>
          <w:trHeight w:val="3561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注射用头孢地嗪钠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Cefodizime  Sodium  for  Injection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0.5g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品适用于对头孢地嗪敏感的链球菌、肺炎链球菌、淋球菌、卡他布兰汉菌、大肠杆菌、柠檬酸杆菌、克雷伯杆菌、肠杆菌属、沙雷菌属、变形杆菌、莫尔加民氏摩根氏杆菌、普罗维登斯菌、流感嗜血杆菌、消化链球菌、类杆菌、普氏菌(除二路普氏菌)所引起的下述感染：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上泌尿道感染、下泌尿道感染、下呼吸道感染及淋病。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哈药集团制药总厂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国药准字H20163093</w:t>
            </w:r>
          </w:p>
        </w:tc>
      </w:tr>
      <w:tr w:rsidR="006B3A12" w:rsidRPr="00F36631" w:rsidTr="00056FA5">
        <w:trPr>
          <w:trHeight w:val="264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注射用头孢地嗪钠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Cefodizime  Sodium  for  Injection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1.0g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品适用于对头孢地嗪敏感的链球菌、肺炎链球菌、淋球菌、卡他布兰汉菌、大肠杆菌、柠檬酸杆菌、克雷伯杆菌、肠杆菌属、沙雷菌属、变形杆菌、莫尔加民氏摩根氏杆菌、普罗维登斯菌、流感嗜血杆菌、消化链球菌、类杆菌、普氏菌(除二路普氏菌)所引起的下述感染：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上泌尿道感染、下泌尿道感染、下呼吸道感染及淋病。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哈药集团制药总厂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国药准字H20163094</w:t>
            </w:r>
          </w:p>
        </w:tc>
      </w:tr>
      <w:tr w:rsidR="006B3A12" w:rsidRPr="00F36631" w:rsidTr="00056FA5">
        <w:trPr>
          <w:trHeight w:val="216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那屈肝素钙注射液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Nadroparin calcium Injection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0.6ml:6150AXaIU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外科手术中，用于静脉血栓形成中度或高度危险的情况，预防静脉血栓栓塞性疾病。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治疗已形成的深静脉血栓。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联合阿司匹林用于不稳定性心绞痛和非Q波性心肌梗死急性期的治疗。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在血液透析中预防体外循环中的血凝块形成。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河北常山生化药业股份有限公司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国药准字H20163095</w:t>
            </w:r>
          </w:p>
        </w:tc>
      </w:tr>
      <w:tr w:rsidR="006B3A12" w:rsidRPr="00F36631" w:rsidTr="00056FA5">
        <w:trPr>
          <w:trHeight w:val="216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那屈肝素钙注射液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Nadroparin calcium Injection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0.4ml:4100AXaIU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外科手术中，用于静脉血栓形成中度或高度危险的情况，预防静脉血栓栓塞性疾病。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治疗已形成的深静脉血栓。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联合阿司匹林用于不稳定性心绞痛和非Q波性心肌梗死急性期的治疗。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在血液透析中预防体外循环中的血凝块形成。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河北常山生化药业股份有限公司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国药准字H20163096</w:t>
            </w:r>
          </w:p>
        </w:tc>
      </w:tr>
      <w:tr w:rsidR="006B3A12" w:rsidRPr="00F36631" w:rsidTr="00056FA5">
        <w:trPr>
          <w:trHeight w:val="96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注射用甲磺酸加贝酯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GabexateMesilate for Injection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0.1g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用于急性轻型（水肿型）胰腺炎的治疗，也可用于急性出血坏死型胰腺炎的辅助治疗。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甘肃成纪生物药业有限公司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国药准字H20163097</w:t>
            </w:r>
          </w:p>
        </w:tc>
      </w:tr>
      <w:tr w:rsidR="006B3A12" w:rsidRPr="00F36631" w:rsidTr="00056FA5">
        <w:trPr>
          <w:trHeight w:val="624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布美他尼注射液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Bumetanide Injection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2ml：0.5mg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1）水肿性疾病包括充血性心力衰竭、肝硬化、肾脏疾病(肾炎、肾病及各种原因所致的急、慢性肾功能衰竭)，尤其是应用其他利尿药效果不佳时，应用本类药物仍可能有效。与其他药物合用治疗急性肺水肿和急性脑水肿等。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（2）高血压。在高血压的梯度疗法中，不作为治疗原发性高血压的首选药物，但当噻嗪类药物疗效不佳，尤其当伴有肾功能不全或出现高血压危象时，本类药物尤为适用。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（3）预防急性肾功能衰竭：用于各种原因导致肾脏血流灌注不足，例如失水、休克、中毒、麻醉意外以及循环功能不全等，在纠正血容量不足的同时及时应用，可减少急性肾小管坏死的机会。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（4）高钾血症及高钙血症。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（5）稀释性低钠血症，尤其是当血钠浓度低于120mmol/L时。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（6）抗利尿激素分泌过多症（SIADH）。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（7）急性药物毒物中毒等的治疗，如巴比妥类药物中毒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等。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（8）对某些呋塞米无效的病例仍可能有效。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甘肃成纪生物药业有限公司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国药准字H20163098</w:t>
            </w:r>
          </w:p>
        </w:tc>
      </w:tr>
      <w:tr w:rsidR="006B3A12" w:rsidRPr="00F36631" w:rsidTr="00056FA5">
        <w:trPr>
          <w:trHeight w:val="48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艾司奥美拉唑钠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Esomeprazole Sodium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江苏奥赛康药业股份有限公司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国药准字H20163099</w:t>
            </w:r>
          </w:p>
        </w:tc>
      </w:tr>
      <w:tr w:rsidR="006B3A12" w:rsidRPr="00F36631" w:rsidTr="00056FA5">
        <w:trPr>
          <w:trHeight w:val="144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注射用艾司奥美拉唑钠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Esomeprazole Sodium for Injection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40mg（以艾司奥美拉唑计）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作为当口服疗法不适用时，胃食管反流病的替代疗法。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用于口服疗法不适用的急性胃或十二指肠溃疡出血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的低危患者（胃镜下Forrest分级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Ⅲ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）。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江苏奥赛康药业股份有限公司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国药准字H20163100</w:t>
            </w:r>
          </w:p>
        </w:tc>
      </w:tr>
      <w:tr w:rsidR="006B3A12" w:rsidRPr="00F36631" w:rsidTr="00056FA5">
        <w:trPr>
          <w:trHeight w:val="48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艾司奥美拉唑钠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Esomeprazole sodium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连云港润众制药有限公司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国药准字H20163101</w:t>
            </w:r>
          </w:p>
        </w:tc>
      </w:tr>
      <w:tr w:rsidR="006B3A12" w:rsidRPr="00F36631" w:rsidTr="00056FA5">
        <w:trPr>
          <w:trHeight w:val="144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注射用艾司奥美拉唑钠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Esomeprazole Sodium for Injection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20mg(以艾司奥美拉唑计)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作为当口服疗法不适用时，胃食管反流病的替代疗法。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用于口服疗法不适用的急性胃或十二指肠溃疡出血的低危患者（胃镜下Forrest分级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Ⅲ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）。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正大天晴药业集团股份有限公司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国药准字H20163102</w:t>
            </w:r>
          </w:p>
        </w:tc>
      </w:tr>
      <w:tr w:rsidR="006B3A12" w:rsidRPr="00F36631" w:rsidTr="00056FA5">
        <w:trPr>
          <w:trHeight w:val="144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注射用艾司奥美拉唑钠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Esomeprazole Sodium for Injection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化药6类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40mg(以艾司奥美拉唑计)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作为当口服疗法不适用时，胃食管反流病的替代疗法。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用于口服疗法不适用的急性胃或十二指肠溃疡出血的低危患者（胃镜下Forrest分级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Ⅲ</w:t>
            </w: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）。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正大天晴药业集团股份有限公司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国药准字H20163103</w:t>
            </w:r>
          </w:p>
        </w:tc>
      </w:tr>
      <w:tr w:rsidR="006B3A12" w:rsidRPr="00F36631" w:rsidTr="00056FA5">
        <w:trPr>
          <w:trHeight w:val="72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孟鲁司特钠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Montelukast sodium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Unimark Remedies Limited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H20160160</w:t>
            </w:r>
          </w:p>
        </w:tc>
      </w:tr>
      <w:tr w:rsidR="006B3A12" w:rsidRPr="00F36631" w:rsidTr="00056FA5">
        <w:trPr>
          <w:trHeight w:val="72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多潘立酮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Domperidone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SRI KRISHNA PHARMACEUTICALS LIMITED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H20160161</w:t>
            </w:r>
          </w:p>
        </w:tc>
      </w:tr>
      <w:tr w:rsidR="006B3A12" w:rsidRPr="00F36631" w:rsidTr="00056FA5">
        <w:trPr>
          <w:trHeight w:val="96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盐酸左西替利嗪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LevocetirizineDihydrochloride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AuctusPharma Limited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H20160162</w:t>
            </w:r>
          </w:p>
        </w:tc>
      </w:tr>
      <w:tr w:rsidR="006B3A12" w:rsidRPr="00F36631" w:rsidTr="00056FA5">
        <w:trPr>
          <w:trHeight w:val="48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沙格列汀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Saxagliptin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化学药品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Swords Laboratories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6B3A12" w:rsidRPr="00F36631" w:rsidRDefault="006B3A12" w:rsidP="00056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6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H20160163</w:t>
            </w:r>
          </w:p>
        </w:tc>
      </w:tr>
    </w:tbl>
    <w:p w:rsidR="006B3A12" w:rsidRPr="00F36631" w:rsidRDefault="006B3A12" w:rsidP="006B3A12">
      <w:pPr>
        <w:jc w:val="center"/>
      </w:pPr>
    </w:p>
    <w:p w:rsidR="006B3A12" w:rsidRDefault="006B3A12" w:rsidP="006B3A12">
      <w:pPr>
        <w:tabs>
          <w:tab w:val="left" w:pos="7200"/>
          <w:tab w:val="left" w:pos="7380"/>
          <w:tab w:val="left" w:pos="7560"/>
        </w:tabs>
        <w:rPr>
          <w:rFonts w:ascii="仿宋_GB2312" w:eastAsia="仿宋_GB2312" w:hAnsi="仿宋" w:cs="仿宋_GB2312"/>
          <w:sz w:val="32"/>
          <w:szCs w:val="32"/>
        </w:rPr>
        <w:sectPr w:rsidR="006B3A12" w:rsidSect="00A97822">
          <w:footerReference w:type="first" r:id="rId6"/>
          <w:pgSz w:w="16840" w:h="11907" w:orient="landscape" w:code="9"/>
          <w:pgMar w:top="1440" w:right="1797" w:bottom="1440" w:left="1797" w:header="851" w:footer="992" w:gutter="0"/>
          <w:cols w:space="425"/>
          <w:docGrid w:linePitch="312"/>
        </w:sectPr>
      </w:pPr>
    </w:p>
    <w:bookmarkEnd w:id="0"/>
    <w:p w:rsidR="00ED0F0C" w:rsidRPr="006B3A12" w:rsidRDefault="00660045" w:rsidP="006B3A12">
      <w:pPr>
        <w:spacing w:line="20" w:lineRule="exact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lastRenderedPageBreak/>
        <w:pict>
          <v:line id="直接连接符 1" o:spid="_x0000_s1027" style="position:absolute;left:0;text-align:left;z-index:251661312;visibility:visible" from="0,2.25pt" to="442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Xq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" strokeweight="1pt"/>
        </w:pict>
      </w:r>
      <w:bookmarkStart w:id="1" w:name="_GoBack"/>
      <w:bookmarkEnd w:id="1"/>
    </w:p>
    <w:sectPr w:rsidR="00ED0F0C" w:rsidRPr="006B3A12" w:rsidSect="009A1829">
      <w:footerReference w:type="even" r:id="rId7"/>
      <w:footerReference w:type="default" r:id="rId8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B51" w:rsidRDefault="00CB6B51" w:rsidP="006B3A12">
      <w:r>
        <w:separator/>
      </w:r>
    </w:p>
  </w:endnote>
  <w:endnote w:type="continuationSeparator" w:id="1">
    <w:p w:rsidR="00CB6B51" w:rsidRDefault="00CB6B51" w:rsidP="006B3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A12" w:rsidRPr="00E56231" w:rsidRDefault="006B3A12" w:rsidP="00A97822">
    <w:pPr>
      <w:pStyle w:val="a4"/>
      <w:wordWrap w:val="0"/>
      <w:jc w:val="right"/>
      <w:rPr>
        <w:sz w:val="28"/>
        <w:szCs w:val="28"/>
      </w:rPr>
    </w:pPr>
    <w:r w:rsidRPr="00E56231">
      <w:rPr>
        <w:rFonts w:hint="eastAsia"/>
        <w:sz w:val="28"/>
        <w:szCs w:val="28"/>
      </w:rPr>
      <w:t>—</w:t>
    </w:r>
    <w:r w:rsidR="00660045" w:rsidRPr="00E56231">
      <w:rPr>
        <w:sz w:val="28"/>
        <w:szCs w:val="28"/>
      </w:rPr>
      <w:fldChar w:fldCharType="begin"/>
    </w:r>
    <w:r w:rsidRPr="00E56231">
      <w:rPr>
        <w:sz w:val="28"/>
        <w:szCs w:val="28"/>
      </w:rPr>
      <w:instrText>PAGE   \* MERGEFORMAT</w:instrText>
    </w:r>
    <w:r w:rsidR="00660045" w:rsidRPr="00E56231">
      <w:rPr>
        <w:sz w:val="28"/>
        <w:szCs w:val="28"/>
      </w:rPr>
      <w:fldChar w:fldCharType="separate"/>
    </w:r>
    <w:r w:rsidR="001703AC" w:rsidRPr="001703AC">
      <w:rPr>
        <w:noProof/>
        <w:sz w:val="28"/>
        <w:szCs w:val="28"/>
        <w:lang w:val="zh-CN"/>
      </w:rPr>
      <w:t>1</w:t>
    </w:r>
    <w:r w:rsidR="00660045" w:rsidRPr="00E56231">
      <w:rPr>
        <w:sz w:val="28"/>
        <w:szCs w:val="28"/>
      </w:rPr>
      <w:fldChar w:fldCharType="end"/>
    </w:r>
    <w:r w:rsidRPr="00E56231">
      <w:rPr>
        <w:rFonts w:hint="eastAsia"/>
        <w:sz w:val="28"/>
        <w:szCs w:val="28"/>
      </w:rPr>
      <w:t>—</w:t>
    </w:r>
    <w:r w:rsidRPr="00E56231">
      <w:rPr>
        <w:rFonts w:hint="eastAsia"/>
        <w:color w:val="FFFFFF"/>
        <w:sz w:val="28"/>
        <w:szCs w:val="28"/>
      </w:rPr>
      <w:t>—</w:t>
    </w:r>
  </w:p>
  <w:p w:rsidR="006B3A12" w:rsidRDefault="006B3A1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29" w:rsidRDefault="00660045" w:rsidP="00CE7A0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C51C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829" w:rsidRDefault="00CB6B51" w:rsidP="009A1829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29" w:rsidRDefault="00CB6B51" w:rsidP="009A182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B51" w:rsidRDefault="00CB6B51" w:rsidP="006B3A12">
      <w:r>
        <w:separator/>
      </w:r>
    </w:p>
  </w:footnote>
  <w:footnote w:type="continuationSeparator" w:id="1">
    <w:p w:rsidR="00CB6B51" w:rsidRDefault="00CB6B51" w:rsidP="006B3A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A8A"/>
    <w:rsid w:val="00067A8A"/>
    <w:rsid w:val="001703AC"/>
    <w:rsid w:val="001B0A21"/>
    <w:rsid w:val="00660045"/>
    <w:rsid w:val="006B3A12"/>
    <w:rsid w:val="008B648D"/>
    <w:rsid w:val="009C44A0"/>
    <w:rsid w:val="00A73DD1"/>
    <w:rsid w:val="00C51CBE"/>
    <w:rsid w:val="00CB6B51"/>
    <w:rsid w:val="00ED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A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A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A12"/>
    <w:rPr>
      <w:sz w:val="18"/>
      <w:szCs w:val="18"/>
    </w:rPr>
  </w:style>
  <w:style w:type="character" w:styleId="a5">
    <w:name w:val="page number"/>
    <w:basedOn w:val="a0"/>
    <w:rsid w:val="006B3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A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A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A12"/>
    <w:rPr>
      <w:sz w:val="18"/>
      <w:szCs w:val="18"/>
    </w:rPr>
  </w:style>
  <w:style w:type="character" w:styleId="a5">
    <w:name w:val="page number"/>
    <w:basedOn w:val="a0"/>
    <w:rsid w:val="006B3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585</Words>
  <Characters>3338</Characters>
  <Application>Microsoft Office Word</Application>
  <DocSecurity>0</DocSecurity>
  <Lines>27</Lines>
  <Paragraphs>7</Paragraphs>
  <ScaleCrop>false</ScaleCrop>
  <Company>CFDA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王兴龙</dc:creator>
  <cp:keywords/>
  <dc:description/>
  <cp:lastModifiedBy>wxl</cp:lastModifiedBy>
  <cp:revision>5</cp:revision>
  <dcterms:created xsi:type="dcterms:W3CDTF">2016-04-07T08:42:00Z</dcterms:created>
  <dcterms:modified xsi:type="dcterms:W3CDTF">2016-04-07T09:38:00Z</dcterms:modified>
</cp:coreProperties>
</file>