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99" w:rsidRPr="00DB424E" w:rsidRDefault="002E7099" w:rsidP="002E7099">
      <w:pPr>
        <w:ind w:left="1643" w:hanging="1641"/>
        <w:jc w:val="left"/>
        <w:rPr>
          <w:rFonts w:ascii="黑体" w:eastAsia="黑体" w:hAnsi="黑体"/>
          <w:sz w:val="32"/>
          <w:szCs w:val="32"/>
        </w:rPr>
      </w:pPr>
      <w:r w:rsidRPr="00DB424E">
        <w:rPr>
          <w:rFonts w:ascii="黑体" w:eastAsia="黑体" w:hAnsi="黑体" w:hint="eastAsia"/>
          <w:sz w:val="32"/>
          <w:szCs w:val="32"/>
        </w:rPr>
        <w:t>附件2</w:t>
      </w:r>
    </w:p>
    <w:p w:rsidR="002E7099" w:rsidRDefault="002E7099" w:rsidP="002E7099">
      <w:pPr>
        <w:ind w:left="1643" w:hanging="1641"/>
        <w:jc w:val="left"/>
        <w:rPr>
          <w:rFonts w:ascii="仿宋_GB2312" w:eastAsia="仿宋_GB2312" w:hAnsi="华文仿宋"/>
          <w:sz w:val="18"/>
          <w:szCs w:val="18"/>
        </w:rPr>
      </w:pPr>
    </w:p>
    <w:p w:rsidR="002E7099" w:rsidRDefault="002E7099" w:rsidP="002E7099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多潘立酮制剂</w:t>
      </w:r>
      <w:r w:rsidRPr="00620494">
        <w:rPr>
          <w:rFonts w:eastAsia="方正小标宋简体" w:hint="eastAsia"/>
          <w:sz w:val="44"/>
          <w:szCs w:val="44"/>
        </w:rPr>
        <w:t>处方药说明书修订要求</w:t>
      </w:r>
    </w:p>
    <w:p w:rsidR="002E7099" w:rsidRDefault="002E7099" w:rsidP="002E7099">
      <w:pPr>
        <w:pStyle w:val="a5"/>
        <w:widowControl w:val="0"/>
        <w:autoSpaceDE w:val="0"/>
        <w:autoSpaceDN w:val="0"/>
        <w:adjustRightInd w:val="0"/>
        <w:snapToGrid w:val="0"/>
        <w:spacing w:line="540" w:lineRule="exact"/>
        <w:ind w:firstLine="640"/>
        <w:jc w:val="both"/>
        <w:rPr>
          <w:rFonts w:ascii="仿宋_GB2312" w:eastAsia="仿宋_GB2312"/>
          <w:sz w:val="32"/>
          <w:szCs w:val="32"/>
        </w:rPr>
      </w:pPr>
    </w:p>
    <w:p w:rsidR="002E7099" w:rsidRPr="00DB424E" w:rsidRDefault="002E7099" w:rsidP="002E7099">
      <w:pPr>
        <w:pStyle w:val="a5"/>
        <w:widowControl w:val="0"/>
        <w:tabs>
          <w:tab w:val="left" w:pos="2127"/>
        </w:tabs>
        <w:autoSpaceDE w:val="0"/>
        <w:autoSpaceDN w:val="0"/>
        <w:adjustRightInd w:val="0"/>
        <w:snapToGrid w:val="0"/>
        <w:spacing w:line="540" w:lineRule="exact"/>
        <w:ind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B424E">
        <w:rPr>
          <w:rFonts w:ascii="Times New Roman" w:eastAsia="仿宋_GB2312" w:hAnsi="Times New Roman" w:cs="Times New Roman"/>
          <w:sz w:val="32"/>
          <w:szCs w:val="32"/>
        </w:rPr>
        <w:t>一、【不良反应】：增加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有报道日剂量超过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30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毫克和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/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或伴有心脏病患者、接受化疗的肿瘤患者、电解质紊乱等严重器质性疾病的患者、年龄大于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60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岁的患者中，发生严重室性心律失常甚至心源性猝死的风险可能升高。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2E7099" w:rsidRPr="00DB424E" w:rsidRDefault="002E7099" w:rsidP="002E7099">
      <w:pPr>
        <w:pStyle w:val="a5"/>
        <w:widowControl w:val="0"/>
        <w:autoSpaceDE w:val="0"/>
        <w:autoSpaceDN w:val="0"/>
        <w:adjustRightInd w:val="0"/>
        <w:snapToGrid w:val="0"/>
        <w:spacing w:line="540" w:lineRule="exact"/>
        <w:ind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B424E">
        <w:rPr>
          <w:rFonts w:ascii="Times New Roman" w:eastAsia="仿宋_GB2312" w:hAnsi="Times New Roman" w:cs="Times New Roman"/>
          <w:sz w:val="32"/>
          <w:szCs w:val="32"/>
        </w:rPr>
        <w:t>二、【禁忌】应包含：</w:t>
      </w:r>
    </w:p>
    <w:p w:rsidR="002E7099" w:rsidRPr="00DB424E" w:rsidRDefault="002E7099" w:rsidP="002E7099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line="540" w:lineRule="exact"/>
        <w:ind w:left="640" w:firstLineChars="0" w:firstLine="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机械性消化道梗阻，消化道出血、穿孔患者禁用。</w:t>
      </w:r>
    </w:p>
    <w:p w:rsidR="002E7099" w:rsidRDefault="002E7099" w:rsidP="002E7099">
      <w:pPr>
        <w:pStyle w:val="a5"/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napToGrid w:val="0"/>
        <w:spacing w:line="540" w:lineRule="exact"/>
        <w:ind w:left="640" w:firstLineChars="0" w:firstLine="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分泌催乳素的垂体肿瘤（催乳素瘤）、嗜铬细胞瘤、乳</w:t>
      </w:r>
    </w:p>
    <w:p w:rsidR="002E7099" w:rsidRPr="00DB424E" w:rsidRDefault="002E7099" w:rsidP="002E7099">
      <w:pPr>
        <w:pStyle w:val="a5"/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napToGrid w:val="0"/>
        <w:spacing w:line="540" w:lineRule="exact"/>
        <w:ind w:firstLineChars="0" w:firstLine="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B424E">
        <w:rPr>
          <w:rFonts w:ascii="Times New Roman" w:eastAsia="仿宋_GB2312" w:hAnsi="Times New Roman" w:cs="Times New Roman"/>
          <w:sz w:val="32"/>
          <w:szCs w:val="32"/>
        </w:rPr>
        <w:t>癌患者禁用。</w:t>
      </w:r>
    </w:p>
    <w:p w:rsidR="002E7099" w:rsidRDefault="002E7099" w:rsidP="002E7099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line="540" w:lineRule="exact"/>
        <w:ind w:left="640" w:firstLineChars="0" w:firstLine="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禁止与酮康唑口服制剂、红霉素或其他可能会延长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QTc</w:t>
      </w:r>
    </w:p>
    <w:p w:rsidR="002E7099" w:rsidRPr="00DB424E" w:rsidRDefault="002E7099" w:rsidP="002E7099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line="540" w:lineRule="exact"/>
        <w:ind w:firstLineChars="0" w:firstLine="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B424E">
        <w:rPr>
          <w:rFonts w:ascii="Times New Roman" w:eastAsia="仿宋_GB2312" w:hAnsi="Times New Roman" w:cs="Times New Roman"/>
          <w:sz w:val="32"/>
          <w:szCs w:val="32"/>
        </w:rPr>
        <w:t>间期的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CYP3A4</w:t>
      </w:r>
      <w:r w:rsidRPr="00DB424E">
        <w:rPr>
          <w:rFonts w:ascii="Times New Roman" w:eastAsia="仿宋_GB2312" w:hAnsi="Times New Roman" w:cs="Times New Roman"/>
          <w:sz w:val="32"/>
          <w:szCs w:val="32"/>
        </w:rPr>
        <w:t>酶强效抑制剂（例如：氟康唑、伏立康唑、克拉霉素、胺碘酮、泰利霉素）合用。</w:t>
      </w:r>
    </w:p>
    <w:p w:rsidR="002E7099" w:rsidRPr="00DB424E" w:rsidRDefault="002E7099" w:rsidP="002E7099">
      <w:pPr>
        <w:tabs>
          <w:tab w:val="left" w:pos="709"/>
          <w:tab w:val="left" w:pos="1134"/>
          <w:tab w:val="left" w:pos="1985"/>
        </w:tabs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DB424E">
        <w:rPr>
          <w:rFonts w:eastAsia="仿宋_GB2312"/>
          <w:kern w:val="0"/>
          <w:sz w:val="32"/>
          <w:szCs w:val="32"/>
        </w:rPr>
        <w:t>4</w:t>
      </w:r>
      <w:r w:rsidRPr="00DB424E">
        <w:rPr>
          <w:rFonts w:eastAsia="仿宋_GB2312"/>
          <w:kern w:val="0"/>
          <w:sz w:val="32"/>
          <w:szCs w:val="32"/>
        </w:rPr>
        <w:t>）中重度肝功能不全的患者禁用。</w:t>
      </w:r>
    </w:p>
    <w:p w:rsidR="00DB5055" w:rsidRPr="00351C9E" w:rsidRDefault="002E7099" w:rsidP="00351C9E">
      <w:pPr>
        <w:spacing w:line="360" w:lineRule="auto"/>
        <w:ind w:firstLineChars="200" w:firstLine="640"/>
        <w:rPr>
          <w:rFonts w:eastAsia="方正小标宋简体"/>
          <w:sz w:val="44"/>
          <w:szCs w:val="44"/>
        </w:rPr>
      </w:pPr>
      <w:r w:rsidRPr="00DB424E">
        <w:rPr>
          <w:rFonts w:eastAsia="仿宋_GB2312"/>
          <w:sz w:val="32"/>
          <w:szCs w:val="32"/>
        </w:rPr>
        <w:t>三、【用法用量】调整为：成人一日</w:t>
      </w:r>
      <w:r w:rsidRPr="00DB424E">
        <w:rPr>
          <w:rFonts w:eastAsia="仿宋_GB2312"/>
          <w:sz w:val="32"/>
          <w:szCs w:val="32"/>
        </w:rPr>
        <w:t>3</w:t>
      </w:r>
      <w:r w:rsidRPr="00DB424E">
        <w:rPr>
          <w:rFonts w:eastAsia="仿宋_GB2312"/>
          <w:sz w:val="32"/>
          <w:szCs w:val="32"/>
        </w:rPr>
        <w:t>次，一次</w:t>
      </w:r>
      <w:r w:rsidRPr="00DB424E">
        <w:rPr>
          <w:rFonts w:eastAsia="仿宋_GB2312"/>
          <w:sz w:val="32"/>
          <w:szCs w:val="32"/>
        </w:rPr>
        <w:t>10mg</w:t>
      </w:r>
      <w:r w:rsidRPr="00DB424E">
        <w:rPr>
          <w:rFonts w:eastAsia="仿宋_GB2312"/>
          <w:sz w:val="32"/>
          <w:szCs w:val="32"/>
        </w:rPr>
        <w:t>，每日不得超过</w:t>
      </w:r>
      <w:r w:rsidRPr="00DB424E">
        <w:rPr>
          <w:rFonts w:eastAsia="仿宋_GB2312"/>
          <w:sz w:val="32"/>
          <w:szCs w:val="32"/>
        </w:rPr>
        <w:t>40mg</w:t>
      </w:r>
      <w:r w:rsidRPr="00DB424E">
        <w:rPr>
          <w:rFonts w:eastAsia="仿宋_GB2312"/>
          <w:sz w:val="32"/>
          <w:szCs w:val="32"/>
        </w:rPr>
        <w:t>；</w:t>
      </w:r>
      <w:r w:rsidRPr="00DB424E">
        <w:rPr>
          <w:rFonts w:eastAsia="仿宋_GB2312"/>
          <w:sz w:val="32"/>
          <w:szCs w:val="32"/>
        </w:rPr>
        <w:t>35kg</w:t>
      </w:r>
      <w:r w:rsidRPr="00DB424E">
        <w:rPr>
          <w:rFonts w:eastAsia="仿宋_GB2312"/>
          <w:sz w:val="32"/>
          <w:szCs w:val="32"/>
        </w:rPr>
        <w:t>以下儿童每日口服最多三次，每次</w:t>
      </w:r>
      <w:r w:rsidRPr="00DB424E">
        <w:rPr>
          <w:rFonts w:eastAsia="仿宋_GB2312"/>
          <w:sz w:val="32"/>
          <w:szCs w:val="32"/>
        </w:rPr>
        <w:t>0.25mg/kg</w:t>
      </w:r>
      <w:r w:rsidRPr="00DB424E">
        <w:rPr>
          <w:rFonts w:eastAsia="仿宋_GB2312"/>
          <w:sz w:val="32"/>
          <w:szCs w:val="32"/>
        </w:rPr>
        <w:t>体重；</w:t>
      </w:r>
      <w:r w:rsidRPr="00DB424E">
        <w:rPr>
          <w:rFonts w:eastAsia="仿宋_GB2312"/>
          <w:sz w:val="32"/>
          <w:szCs w:val="32"/>
        </w:rPr>
        <w:t>35kg</w:t>
      </w:r>
      <w:r w:rsidRPr="00DB424E">
        <w:rPr>
          <w:rFonts w:eastAsia="仿宋_GB2312"/>
          <w:sz w:val="32"/>
          <w:szCs w:val="32"/>
        </w:rPr>
        <w:t>以上儿童每日口服最多三次，每次</w:t>
      </w:r>
      <w:r w:rsidRPr="00DB424E">
        <w:rPr>
          <w:rFonts w:eastAsia="仿宋_GB2312"/>
          <w:sz w:val="32"/>
          <w:szCs w:val="32"/>
        </w:rPr>
        <w:t>10mg</w:t>
      </w:r>
      <w:r w:rsidRPr="00DB424E">
        <w:rPr>
          <w:rFonts w:eastAsia="仿宋_GB2312"/>
          <w:sz w:val="32"/>
          <w:szCs w:val="32"/>
        </w:rPr>
        <w:t>。</w:t>
      </w:r>
    </w:p>
    <w:sectPr w:rsidR="00DB5055" w:rsidRPr="00351C9E" w:rsidSect="00DB424E">
      <w:footerReference w:type="even" r:id="rId7"/>
      <w:footerReference w:type="default" r:id="rId8"/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2A0" w:rsidRDefault="00A642A0" w:rsidP="002E7099">
      <w:r>
        <w:separator/>
      </w:r>
    </w:p>
  </w:endnote>
  <w:endnote w:type="continuationSeparator" w:id="1">
    <w:p w:rsidR="00A642A0" w:rsidRDefault="00A642A0" w:rsidP="002E7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24E" w:rsidRPr="00DB424E" w:rsidRDefault="0085366D">
    <w:pPr>
      <w:pStyle w:val="a4"/>
      <w:rPr>
        <w:sz w:val="28"/>
        <w:szCs w:val="28"/>
      </w:rPr>
    </w:pPr>
    <w:r w:rsidRPr="00DB424E">
      <w:rPr>
        <w:rFonts w:hint="eastAsia"/>
        <w:color w:val="FFFFFF"/>
        <w:sz w:val="28"/>
        <w:szCs w:val="28"/>
      </w:rPr>
      <w:t>—</w:t>
    </w:r>
    <w:r w:rsidRPr="00DB424E">
      <w:rPr>
        <w:rFonts w:hint="eastAsia"/>
        <w:sz w:val="28"/>
        <w:szCs w:val="28"/>
      </w:rPr>
      <w:t>—</w:t>
    </w:r>
    <w:r w:rsidR="005B47E7" w:rsidRPr="00DB424E">
      <w:rPr>
        <w:sz w:val="28"/>
        <w:szCs w:val="28"/>
      </w:rPr>
      <w:fldChar w:fldCharType="begin"/>
    </w:r>
    <w:r w:rsidRPr="00DB424E">
      <w:rPr>
        <w:sz w:val="28"/>
        <w:szCs w:val="28"/>
      </w:rPr>
      <w:instrText>PAGE   \* MERGEFORMAT</w:instrText>
    </w:r>
    <w:r w:rsidR="005B47E7" w:rsidRPr="00DB424E">
      <w:rPr>
        <w:sz w:val="28"/>
        <w:szCs w:val="28"/>
      </w:rPr>
      <w:fldChar w:fldCharType="separate"/>
    </w:r>
    <w:r w:rsidRPr="00EE4427">
      <w:rPr>
        <w:noProof/>
        <w:sz w:val="28"/>
        <w:szCs w:val="28"/>
        <w:lang w:val="zh-CN"/>
      </w:rPr>
      <w:t>14</w:t>
    </w:r>
    <w:r w:rsidR="005B47E7" w:rsidRPr="00DB424E">
      <w:rPr>
        <w:sz w:val="28"/>
        <w:szCs w:val="28"/>
      </w:rPr>
      <w:fldChar w:fldCharType="end"/>
    </w:r>
    <w:r w:rsidRPr="00DB424E">
      <w:rPr>
        <w:rFonts w:hint="eastAsia"/>
        <w:sz w:val="28"/>
        <w:szCs w:val="28"/>
      </w:rPr>
      <w:t>—</w:t>
    </w:r>
  </w:p>
  <w:p w:rsidR="00DB424E" w:rsidRDefault="00A642A0" w:rsidP="00DB424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24E" w:rsidRPr="00DB424E" w:rsidRDefault="0085366D" w:rsidP="00DB424E">
    <w:pPr>
      <w:pStyle w:val="a4"/>
      <w:wordWrap w:val="0"/>
      <w:jc w:val="right"/>
      <w:rPr>
        <w:sz w:val="28"/>
        <w:szCs w:val="28"/>
      </w:rPr>
    </w:pPr>
    <w:r w:rsidRPr="00DB424E">
      <w:rPr>
        <w:rFonts w:hint="eastAsia"/>
        <w:sz w:val="28"/>
        <w:szCs w:val="28"/>
      </w:rPr>
      <w:t>—</w:t>
    </w:r>
    <w:r w:rsidR="005B47E7" w:rsidRPr="00DB424E">
      <w:rPr>
        <w:sz w:val="28"/>
        <w:szCs w:val="28"/>
      </w:rPr>
      <w:fldChar w:fldCharType="begin"/>
    </w:r>
    <w:r w:rsidRPr="00DB424E">
      <w:rPr>
        <w:sz w:val="28"/>
        <w:szCs w:val="28"/>
      </w:rPr>
      <w:instrText>PAGE   \* MERGEFORMAT</w:instrText>
    </w:r>
    <w:r w:rsidR="005B47E7" w:rsidRPr="00DB424E">
      <w:rPr>
        <w:sz w:val="28"/>
        <w:szCs w:val="28"/>
      </w:rPr>
      <w:fldChar w:fldCharType="separate"/>
    </w:r>
    <w:r w:rsidR="00351C9E" w:rsidRPr="00351C9E">
      <w:rPr>
        <w:noProof/>
        <w:sz w:val="28"/>
        <w:szCs w:val="28"/>
        <w:lang w:val="zh-CN"/>
      </w:rPr>
      <w:t>1</w:t>
    </w:r>
    <w:r w:rsidR="005B47E7" w:rsidRPr="00DB424E">
      <w:rPr>
        <w:sz w:val="28"/>
        <w:szCs w:val="28"/>
      </w:rPr>
      <w:fldChar w:fldCharType="end"/>
    </w:r>
    <w:r w:rsidRPr="00DB424E">
      <w:rPr>
        <w:rFonts w:hint="eastAsia"/>
        <w:sz w:val="28"/>
        <w:szCs w:val="28"/>
      </w:rPr>
      <w:t>—</w:t>
    </w:r>
    <w:r w:rsidRPr="00DB424E">
      <w:rPr>
        <w:rFonts w:hint="eastAsia"/>
        <w:color w:val="FFFFFF"/>
        <w:sz w:val="28"/>
        <w:szCs w:val="28"/>
      </w:rPr>
      <w:t>—</w:t>
    </w:r>
  </w:p>
  <w:p w:rsidR="00DB424E" w:rsidRDefault="00A642A0" w:rsidP="00DB42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2A0" w:rsidRDefault="00A642A0" w:rsidP="002E7099">
      <w:r>
        <w:separator/>
      </w:r>
    </w:p>
  </w:footnote>
  <w:footnote w:type="continuationSeparator" w:id="1">
    <w:p w:rsidR="00A642A0" w:rsidRDefault="00A642A0" w:rsidP="002E7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737"/>
    <w:multiLevelType w:val="hybridMultilevel"/>
    <w:tmpl w:val="D8A23A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D340C39"/>
    <w:multiLevelType w:val="hybridMultilevel"/>
    <w:tmpl w:val="3B2C54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707C8D"/>
    <w:multiLevelType w:val="hybridMultilevel"/>
    <w:tmpl w:val="0082FE08"/>
    <w:lvl w:ilvl="0" w:tplc="ACC48CD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505281"/>
    <w:multiLevelType w:val="hybridMultilevel"/>
    <w:tmpl w:val="E028E7F8"/>
    <w:lvl w:ilvl="0" w:tplc="679C617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892ADF"/>
    <w:multiLevelType w:val="hybridMultilevel"/>
    <w:tmpl w:val="C9E26E62"/>
    <w:lvl w:ilvl="0" w:tplc="6E5A13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5C4D50"/>
    <w:multiLevelType w:val="hybridMultilevel"/>
    <w:tmpl w:val="616284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F6867F4"/>
    <w:multiLevelType w:val="hybridMultilevel"/>
    <w:tmpl w:val="993E574A"/>
    <w:lvl w:ilvl="0" w:tplc="E4DA2F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08E"/>
    <w:rsid w:val="002E7099"/>
    <w:rsid w:val="00351C9E"/>
    <w:rsid w:val="004A308E"/>
    <w:rsid w:val="005B47E7"/>
    <w:rsid w:val="0085366D"/>
    <w:rsid w:val="00A642A0"/>
    <w:rsid w:val="00C10D97"/>
    <w:rsid w:val="00DB5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E70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0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099"/>
    <w:rPr>
      <w:sz w:val="18"/>
      <w:szCs w:val="18"/>
    </w:rPr>
  </w:style>
  <w:style w:type="character" w:customStyle="1" w:styleId="2Char">
    <w:name w:val="标题 2 Char"/>
    <w:basedOn w:val="a0"/>
    <w:link w:val="2"/>
    <w:rsid w:val="002E709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E709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2E70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70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E709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0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099"/>
    <w:rPr>
      <w:sz w:val="18"/>
      <w:szCs w:val="18"/>
    </w:rPr>
  </w:style>
  <w:style w:type="character" w:customStyle="1" w:styleId="2Char">
    <w:name w:val="标题 2 Char"/>
    <w:basedOn w:val="a0"/>
    <w:link w:val="2"/>
    <w:rsid w:val="002E709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E709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2E70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70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CFDA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李雪墨</dc:creator>
  <cp:lastModifiedBy>wxl</cp:lastModifiedBy>
  <cp:revision>2</cp:revision>
  <dcterms:created xsi:type="dcterms:W3CDTF">2016-09-14T08:37:00Z</dcterms:created>
  <dcterms:modified xsi:type="dcterms:W3CDTF">2016-09-14T08:37:00Z</dcterms:modified>
</cp:coreProperties>
</file>